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3" w:rsidRPr="003F7383" w:rsidRDefault="003F7383" w:rsidP="003F738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F7383">
        <w:rPr>
          <w:color w:val="000000" w:themeColor="text1"/>
          <w:sz w:val="28"/>
          <w:szCs w:val="28"/>
        </w:rPr>
        <w:t>Государственное учреждение «Калинковичский районный центр гигиены и эпидемиологии»  сообщает, что</w:t>
      </w: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 за 2 квартал 2023г. проведены исследования проб воды централизованных систем питьевого водоснабжения отобранных перед поступлением в распределительную сеть после фильтров на станциях обезжелезивания и контрольных точках водопроводной сети  г. Калинковичи, д. Новая Антоновка,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г.п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Озаричи,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Домановичи,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Юровичи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Малые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Автюки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Сырод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Перетрутовский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Воротын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Бобровичи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Дудичи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Горочичи,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Липов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в контрольных точках водопроводной сети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Крюковичи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Огородники,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Замостье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Золотуха,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Носовичи, д. Новинки,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Зеленочи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Якимовичи,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аг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proofErr w:type="gram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Горбовичи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Турцевичи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Кощичи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Михайловское,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Хобное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д. Хомичи,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Мироненки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, а также из  источников нецентрализованного питьевого водоснабжения (общественных колодцев)</w:t>
      </w:r>
      <w:r w:rsidRPr="003F738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расположенных по адресам: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Виша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, ул. Вишанская,31,</w:t>
      </w:r>
      <w:r w:rsidRPr="003F738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д. Хомичи, дом №14,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Вязовица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ул. Гагарина,60, д. Хомичи, ул. Центральная,29, ул. Центральная,48,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Суховичи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ул. Крестьянская,28,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Туровичи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ул. Советская,52.  </w:t>
      </w:r>
      <w:r w:rsidRPr="003F7383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End"/>
    </w:p>
    <w:p w:rsidR="003F7383" w:rsidRPr="003F7383" w:rsidRDefault="003F7383" w:rsidP="003F738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3F7383">
        <w:rPr>
          <w:color w:val="000000" w:themeColor="text1"/>
          <w:sz w:val="28"/>
          <w:szCs w:val="28"/>
        </w:rPr>
        <w:t>Все пробы питьевой воды, отобранные из централизованных систем питьевого водоснабжения и источников нецентрализованного водоснабжения по микробиологическим и санитарно-химическим показателям соответствовали требованиям действующих гигиенических нормативов,</w:t>
      </w:r>
      <w:r w:rsidRPr="003F7383">
        <w:rPr>
          <w:color w:val="FF0000"/>
          <w:sz w:val="28"/>
          <w:szCs w:val="28"/>
        </w:rPr>
        <w:t xml:space="preserve"> </w:t>
      </w:r>
      <w:r w:rsidRPr="003F7383">
        <w:rPr>
          <w:color w:val="000000" w:themeColor="text1"/>
          <w:sz w:val="28"/>
          <w:szCs w:val="28"/>
        </w:rPr>
        <w:t>за исключением проб воды по санитарно-химическим показателям в</w:t>
      </w:r>
      <w:r w:rsidRPr="003F738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F7383">
        <w:rPr>
          <w:rFonts w:eastAsia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Pr="003F7383">
        <w:rPr>
          <w:rFonts w:eastAsia="Calibri"/>
          <w:color w:val="000000"/>
          <w:sz w:val="28"/>
          <w:szCs w:val="28"/>
          <w:lang w:eastAsia="en-US"/>
        </w:rPr>
        <w:t>Бобровичи</w:t>
      </w:r>
      <w:proofErr w:type="spellEnd"/>
      <w:r w:rsidRPr="003F7383">
        <w:rPr>
          <w:rFonts w:eastAsia="Calibri"/>
          <w:color w:val="000000"/>
          <w:sz w:val="28"/>
          <w:szCs w:val="28"/>
          <w:lang w:eastAsia="en-US"/>
        </w:rPr>
        <w:t xml:space="preserve">, д. Новинки, д. Михайловское,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Хобное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, которые не соответствовали гигиеническим нормативам по показателям запах, цветность, мутность, железо.</w:t>
      </w:r>
      <w:proofErr w:type="gramEnd"/>
    </w:p>
    <w:p w:rsidR="003F7383" w:rsidRPr="003F7383" w:rsidRDefault="003F7383" w:rsidP="003F7383">
      <w:pPr>
        <w:ind w:firstLine="708"/>
        <w:jc w:val="both"/>
        <w:rPr>
          <w:color w:val="000000" w:themeColor="text1"/>
          <w:sz w:val="28"/>
          <w:szCs w:val="28"/>
        </w:rPr>
      </w:pP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Превышения гигиенических нормативов в д. Новинки, д. Михайловское, д. </w:t>
      </w:r>
      <w:proofErr w:type="spellStart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Хобное</w:t>
      </w:r>
      <w:proofErr w:type="spellEnd"/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, связано с </w:t>
      </w:r>
      <w:r w:rsidRPr="003F7383">
        <w:rPr>
          <w:color w:val="000000" w:themeColor="text1"/>
          <w:sz w:val="28"/>
          <w:szCs w:val="28"/>
        </w:rPr>
        <w:t xml:space="preserve">исходным качеством воды </w:t>
      </w:r>
      <w:proofErr w:type="spellStart"/>
      <w:r w:rsidRPr="003F7383">
        <w:rPr>
          <w:color w:val="000000" w:themeColor="text1"/>
          <w:sz w:val="28"/>
          <w:szCs w:val="28"/>
        </w:rPr>
        <w:t>водоисточников</w:t>
      </w:r>
      <w:proofErr w:type="spellEnd"/>
      <w:r w:rsidRPr="003F7383">
        <w:rPr>
          <w:color w:val="000000" w:themeColor="text1"/>
          <w:sz w:val="28"/>
          <w:szCs w:val="28"/>
        </w:rPr>
        <w:t xml:space="preserve"> (для района характерна вода с высоким значением цветности, мутности, содержанием железа) и фактическое содержание в питьевой воде составило:</w:t>
      </w:r>
    </w:p>
    <w:p w:rsidR="003F7383" w:rsidRPr="003F7383" w:rsidRDefault="003F7383" w:rsidP="003F7383">
      <w:pPr>
        <w:ind w:firstLine="708"/>
        <w:jc w:val="both"/>
        <w:rPr>
          <w:color w:val="000000" w:themeColor="text1"/>
          <w:sz w:val="28"/>
          <w:szCs w:val="28"/>
        </w:rPr>
      </w:pPr>
      <w:r w:rsidRPr="003F7383">
        <w:rPr>
          <w:color w:val="000000" w:themeColor="text1"/>
          <w:sz w:val="28"/>
          <w:szCs w:val="28"/>
        </w:rPr>
        <w:t>д. Новинки – железо от 0,73 до 0,81 мг/дм</w:t>
      </w:r>
      <w:r w:rsidRPr="003F7383">
        <w:rPr>
          <w:color w:val="000000" w:themeColor="text1"/>
          <w:sz w:val="28"/>
          <w:szCs w:val="28"/>
          <w:vertAlign w:val="superscript"/>
        </w:rPr>
        <w:t xml:space="preserve">3 </w:t>
      </w:r>
      <w:r w:rsidRPr="003F7383">
        <w:rPr>
          <w:color w:val="000000" w:themeColor="text1"/>
          <w:sz w:val="28"/>
          <w:szCs w:val="28"/>
        </w:rPr>
        <w:t>(норма 0,3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), мутность от 1,62 до 1,7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 xml:space="preserve"> (норма не более 1,5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);</w:t>
      </w:r>
    </w:p>
    <w:p w:rsidR="003F7383" w:rsidRPr="003F7383" w:rsidRDefault="003F7383" w:rsidP="003F7383">
      <w:pPr>
        <w:ind w:firstLine="708"/>
        <w:jc w:val="both"/>
        <w:rPr>
          <w:color w:val="000000" w:themeColor="text1"/>
          <w:sz w:val="28"/>
          <w:szCs w:val="28"/>
        </w:rPr>
      </w:pPr>
      <w:r w:rsidRPr="003F7383">
        <w:rPr>
          <w:color w:val="000000" w:themeColor="text1"/>
          <w:sz w:val="28"/>
          <w:szCs w:val="28"/>
        </w:rPr>
        <w:t>д. Михайловское – железо от 2,02 до 2,12 мг/дм</w:t>
      </w:r>
      <w:r w:rsidRPr="003F7383">
        <w:rPr>
          <w:color w:val="000000" w:themeColor="text1"/>
          <w:sz w:val="28"/>
          <w:szCs w:val="28"/>
          <w:vertAlign w:val="superscript"/>
        </w:rPr>
        <w:t xml:space="preserve">3 </w:t>
      </w:r>
      <w:r w:rsidRPr="003F7383">
        <w:rPr>
          <w:color w:val="000000" w:themeColor="text1"/>
          <w:sz w:val="28"/>
          <w:szCs w:val="28"/>
        </w:rPr>
        <w:t>(норма 0,3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), мутность &gt;4,64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 xml:space="preserve"> (норма не более 1,5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), цветность 30 градусов (норма 20 градусов);</w:t>
      </w:r>
    </w:p>
    <w:p w:rsidR="003F7383" w:rsidRPr="003F7383" w:rsidRDefault="003F7383" w:rsidP="003F73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7383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3F7383">
        <w:rPr>
          <w:rFonts w:eastAsia="Calibri"/>
          <w:sz w:val="28"/>
          <w:szCs w:val="28"/>
          <w:lang w:eastAsia="en-US"/>
        </w:rPr>
        <w:t>Хобное</w:t>
      </w:r>
      <w:proofErr w:type="spellEnd"/>
      <w:r w:rsidRPr="003F7383">
        <w:rPr>
          <w:rFonts w:eastAsia="Calibri"/>
          <w:sz w:val="28"/>
          <w:szCs w:val="28"/>
          <w:lang w:eastAsia="en-US"/>
        </w:rPr>
        <w:t xml:space="preserve"> </w:t>
      </w:r>
      <w:r w:rsidRPr="003F7383">
        <w:rPr>
          <w:sz w:val="28"/>
          <w:szCs w:val="28"/>
        </w:rPr>
        <w:t xml:space="preserve">– </w:t>
      </w:r>
      <w:r w:rsidRPr="003F7383">
        <w:rPr>
          <w:color w:val="000000"/>
          <w:sz w:val="28"/>
          <w:szCs w:val="28"/>
        </w:rPr>
        <w:t>железо от 2,86 до 2,88 мг/дм</w:t>
      </w:r>
      <w:r w:rsidRPr="003F7383">
        <w:rPr>
          <w:color w:val="000000"/>
          <w:sz w:val="28"/>
          <w:szCs w:val="28"/>
          <w:vertAlign w:val="superscript"/>
        </w:rPr>
        <w:t xml:space="preserve">3 </w:t>
      </w:r>
      <w:r w:rsidRPr="003F7383">
        <w:rPr>
          <w:color w:val="000000"/>
          <w:sz w:val="28"/>
          <w:szCs w:val="28"/>
        </w:rPr>
        <w:t>(норма 0,3 мг/дм</w:t>
      </w:r>
      <w:r w:rsidRPr="003F7383">
        <w:rPr>
          <w:color w:val="000000"/>
          <w:sz w:val="28"/>
          <w:szCs w:val="28"/>
          <w:vertAlign w:val="superscript"/>
        </w:rPr>
        <w:t>3</w:t>
      </w:r>
      <w:r w:rsidRPr="003F7383">
        <w:rPr>
          <w:color w:val="000000"/>
          <w:sz w:val="28"/>
          <w:szCs w:val="28"/>
        </w:rPr>
        <w:t>), мутность &gt;4,64 мг/дм</w:t>
      </w:r>
      <w:r w:rsidRPr="003F7383">
        <w:rPr>
          <w:color w:val="000000"/>
          <w:sz w:val="28"/>
          <w:szCs w:val="28"/>
          <w:vertAlign w:val="superscript"/>
        </w:rPr>
        <w:t>3</w:t>
      </w:r>
      <w:r w:rsidRPr="003F7383">
        <w:rPr>
          <w:color w:val="000000"/>
          <w:sz w:val="28"/>
          <w:szCs w:val="28"/>
        </w:rPr>
        <w:t xml:space="preserve"> (норма не более 1,5 мг/дм</w:t>
      </w:r>
      <w:r w:rsidRPr="003F7383">
        <w:rPr>
          <w:color w:val="000000"/>
          <w:sz w:val="28"/>
          <w:szCs w:val="28"/>
          <w:vertAlign w:val="superscript"/>
        </w:rPr>
        <w:t>3</w:t>
      </w:r>
      <w:r w:rsidRPr="003F7383">
        <w:rPr>
          <w:color w:val="000000"/>
          <w:sz w:val="28"/>
          <w:szCs w:val="28"/>
        </w:rPr>
        <w:t>), цветность 25 градусов (норма 20 градусов).</w:t>
      </w:r>
    </w:p>
    <w:p w:rsidR="003F7383" w:rsidRPr="003F7383" w:rsidRDefault="003F7383" w:rsidP="003F7383">
      <w:pPr>
        <w:ind w:firstLine="708"/>
        <w:jc w:val="both"/>
        <w:rPr>
          <w:color w:val="000000" w:themeColor="text1"/>
          <w:sz w:val="28"/>
          <w:szCs w:val="28"/>
        </w:rPr>
      </w:pPr>
      <w:r w:rsidRPr="003F7383">
        <w:rPr>
          <w:rFonts w:eastAsia="Calibri"/>
          <w:sz w:val="28"/>
          <w:szCs w:val="28"/>
          <w:lang w:eastAsia="en-US"/>
        </w:rPr>
        <w:t xml:space="preserve">Превышения гигиенических нормативов в д. </w:t>
      </w:r>
      <w:proofErr w:type="spellStart"/>
      <w:r w:rsidRPr="003F7383">
        <w:rPr>
          <w:rFonts w:eastAsia="Calibri"/>
          <w:sz w:val="28"/>
          <w:szCs w:val="28"/>
          <w:lang w:eastAsia="en-US"/>
        </w:rPr>
        <w:t>Бобровичи</w:t>
      </w:r>
      <w:proofErr w:type="spellEnd"/>
      <w:r w:rsidRPr="003F7383">
        <w:rPr>
          <w:rFonts w:eastAsia="Calibri"/>
          <w:sz w:val="28"/>
          <w:szCs w:val="28"/>
          <w:lang w:eastAsia="en-US"/>
        </w:rPr>
        <w:t xml:space="preserve"> связан</w:t>
      </w: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 xml:space="preserve">о с неэффективной работой станции обезжелезивания воды и </w:t>
      </w:r>
      <w:r w:rsidRPr="003F7383">
        <w:rPr>
          <w:color w:val="000000" w:themeColor="text1"/>
          <w:sz w:val="28"/>
          <w:szCs w:val="28"/>
        </w:rPr>
        <w:t xml:space="preserve">фактическое содержание в питьевой воде составило: </w:t>
      </w:r>
      <w:r w:rsidRPr="003F7383">
        <w:rPr>
          <w:color w:val="FF0000"/>
          <w:sz w:val="28"/>
          <w:szCs w:val="28"/>
        </w:rPr>
        <w:t xml:space="preserve"> </w:t>
      </w:r>
      <w:r w:rsidRPr="003F7383">
        <w:rPr>
          <w:color w:val="000000" w:themeColor="text1"/>
          <w:sz w:val="28"/>
          <w:szCs w:val="28"/>
        </w:rPr>
        <w:t>железо от 0,42 до 1,19 мг/дм</w:t>
      </w:r>
      <w:r w:rsidRPr="003F7383">
        <w:rPr>
          <w:color w:val="000000" w:themeColor="text1"/>
          <w:sz w:val="28"/>
          <w:szCs w:val="28"/>
          <w:vertAlign w:val="superscript"/>
        </w:rPr>
        <w:t xml:space="preserve">3 </w:t>
      </w:r>
      <w:r w:rsidRPr="003F7383">
        <w:rPr>
          <w:color w:val="000000" w:themeColor="text1"/>
          <w:sz w:val="28"/>
          <w:szCs w:val="28"/>
        </w:rPr>
        <w:t>(норма 0,3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), мутность от 1,71 до 3,33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 xml:space="preserve"> (норма не более 1,5 мг/дм</w:t>
      </w:r>
      <w:r w:rsidRPr="003F7383">
        <w:rPr>
          <w:color w:val="000000" w:themeColor="text1"/>
          <w:sz w:val="28"/>
          <w:szCs w:val="28"/>
          <w:vertAlign w:val="superscript"/>
        </w:rPr>
        <w:t>3</w:t>
      </w:r>
      <w:r w:rsidRPr="003F7383">
        <w:rPr>
          <w:color w:val="000000" w:themeColor="text1"/>
          <w:sz w:val="28"/>
          <w:szCs w:val="28"/>
        </w:rPr>
        <w:t>).</w:t>
      </w:r>
    </w:p>
    <w:p w:rsidR="003F7383" w:rsidRPr="003F7383" w:rsidRDefault="003F7383" w:rsidP="003F7383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7383">
        <w:rPr>
          <w:rFonts w:eastAsia="Calibri"/>
          <w:color w:val="000000" w:themeColor="text1"/>
          <w:sz w:val="28"/>
          <w:szCs w:val="28"/>
          <w:lang w:eastAsia="en-US"/>
        </w:rPr>
        <w:t>В адрес КУП «Коммунальник Калинковичский» было направлено предписание об устранении нарушений. Предписание находится на контроле (не подошли сроки исполнения).</w:t>
      </w:r>
    </w:p>
    <w:p w:rsidR="000C2500" w:rsidRPr="003F7383" w:rsidRDefault="003F7383" w:rsidP="00C718C2">
      <w:pPr>
        <w:jc w:val="both"/>
      </w:pPr>
      <w:bookmarkStart w:id="0" w:name="_GoBack"/>
      <w:r w:rsidRPr="003F7383">
        <w:rPr>
          <w:color w:val="000000" w:themeColor="text1"/>
          <w:sz w:val="28"/>
          <w:szCs w:val="28"/>
        </w:rPr>
        <w:t xml:space="preserve">         Вопрос  качества питьевой воды в населенных пунктах района  продолжает находиться на контроле в </w:t>
      </w:r>
      <w:proofErr w:type="spellStart"/>
      <w:r w:rsidRPr="003F7383">
        <w:rPr>
          <w:color w:val="000000" w:themeColor="text1"/>
          <w:sz w:val="28"/>
          <w:szCs w:val="28"/>
        </w:rPr>
        <w:t>Калинковичском</w:t>
      </w:r>
      <w:proofErr w:type="spellEnd"/>
      <w:r w:rsidRPr="003F7383">
        <w:rPr>
          <w:color w:val="000000" w:themeColor="text1"/>
          <w:sz w:val="28"/>
          <w:szCs w:val="28"/>
        </w:rPr>
        <w:t xml:space="preserve"> районном ЦГЭ.</w:t>
      </w:r>
      <w:bookmarkEnd w:id="0"/>
    </w:p>
    <w:sectPr w:rsidR="000C2500" w:rsidRPr="003F7383" w:rsidSect="00D17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8"/>
    <w:rsid w:val="000C2500"/>
    <w:rsid w:val="003F7383"/>
    <w:rsid w:val="00704C68"/>
    <w:rsid w:val="00C718C2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Sanstan</cp:lastModifiedBy>
  <cp:revision>5</cp:revision>
  <cp:lastPrinted>2023-08-10T08:35:00Z</cp:lastPrinted>
  <dcterms:created xsi:type="dcterms:W3CDTF">2023-05-12T09:49:00Z</dcterms:created>
  <dcterms:modified xsi:type="dcterms:W3CDTF">2023-08-15T06:22:00Z</dcterms:modified>
</cp:coreProperties>
</file>